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22A4A629"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3GPP TSG-RAN WG4 Meeting # 9</w:t>
      </w:r>
      <w:r w:rsidR="00B06282">
        <w:rPr>
          <w:rFonts w:cs="Arial"/>
          <w:b/>
          <w:sz w:val="24"/>
          <w:szCs w:val="24"/>
        </w:rPr>
        <w:t>9</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75037">
        <w:rPr>
          <w:rFonts w:cs="Arial"/>
          <w:b/>
          <w:sz w:val="24"/>
          <w:szCs w:val="24"/>
        </w:rPr>
        <w:t>11</w:t>
      </w:r>
      <w:r w:rsidR="003E68A3">
        <w:rPr>
          <w:rFonts w:cs="Arial"/>
          <w:b/>
          <w:sz w:val="24"/>
          <w:szCs w:val="24"/>
        </w:rPr>
        <w:t>023</w:t>
      </w:r>
    </w:p>
    <w:p w14:paraId="31DCE6A5" w14:textId="3D4A12C1"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06282">
        <w:rPr>
          <w:b/>
          <w:sz w:val="24"/>
          <w:szCs w:val="24"/>
          <w:lang w:eastAsia="zh-CN"/>
        </w:rPr>
        <w:t>May</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3EF799D0"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1753F" w:rsidRPr="0061753F">
        <w:rPr>
          <w:rFonts w:cs="Arial"/>
          <w:sz w:val="22"/>
        </w:rPr>
        <w:t xml:space="preserve">PC2 contiguous UL CA using transparent </w:t>
      </w:r>
      <w:proofErr w:type="spellStart"/>
      <w:r w:rsidR="0061753F" w:rsidRPr="0061753F">
        <w:rPr>
          <w:rFonts w:cs="Arial"/>
          <w:sz w:val="22"/>
        </w:rPr>
        <w:t>Tx</w:t>
      </w:r>
      <w:proofErr w:type="spellEnd"/>
      <w:r w:rsidR="0061753F" w:rsidRPr="0061753F">
        <w:rPr>
          <w:rFonts w:cs="Arial"/>
          <w:sz w:val="22"/>
        </w:rPr>
        <w:t xml:space="preserve"> Diversity or UL MIMO</w:t>
      </w:r>
    </w:p>
    <w:p w14:paraId="3A2BD0C9" w14:textId="493D0451" w:rsidR="00E26107" w:rsidRDefault="00675C27" w:rsidP="00E2610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034699" w:rsidRPr="00034699">
        <w:rPr>
          <w:rFonts w:ascii="Arial" w:hAnsi="Arial" w:cs="Arial"/>
          <w:sz w:val="22"/>
        </w:rPr>
        <w:t>9.3.2.6 - Intra-band UL contiguous CA for UL MIMO (n41C and n78C)</w:t>
      </w:r>
      <w:r w:rsidR="0061753F" w:rsidRPr="0061753F">
        <w:rPr>
          <w:rFonts w:ascii="Arial" w:hAnsi="Arial" w:cs="Arial"/>
          <w:sz w:val="22"/>
        </w:rPr>
        <w:t xml:space="preserve"> [NR_RF_FR1_enh-Core]</w:t>
      </w:r>
    </w:p>
    <w:p w14:paraId="2E5C6AEA" w14:textId="3DF589AF" w:rsidR="00675C27" w:rsidRPr="00A62DA7" w:rsidRDefault="00675C27" w:rsidP="00E2610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3F626837"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4265F2">
        <w:rPr>
          <w:rFonts w:eastAsia="SimSun"/>
          <w:lang w:eastAsia="zh-CN"/>
        </w:rPr>
        <w:t>4</w:t>
      </w:r>
      <w:r w:rsidR="00154E81">
        <w:rPr>
          <w:rFonts w:eastAsia="SimSun"/>
          <w:lang w:eastAsia="zh-CN"/>
        </w:rPr>
        <w:t>#</w:t>
      </w:r>
      <w:r w:rsidR="008063BB">
        <w:rPr>
          <w:rFonts w:eastAsia="SimSun"/>
          <w:lang w:eastAsia="zh-CN"/>
        </w:rPr>
        <w:t>9</w:t>
      </w:r>
      <w:r w:rsidR="004265F2">
        <w:rPr>
          <w:rFonts w:eastAsia="SimSun"/>
          <w:lang w:eastAsia="zh-CN"/>
        </w:rPr>
        <w:t>8</w:t>
      </w:r>
      <w:r w:rsidR="00476843">
        <w:rPr>
          <w:rFonts w:eastAsia="SimSun"/>
          <w:lang w:eastAsia="zh-CN"/>
        </w:rPr>
        <w:t>b</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E26107">
        <w:rPr>
          <w:rFonts w:eastAsia="SimSun"/>
          <w:lang w:eastAsia="zh-CN"/>
        </w:rPr>
        <w:t>way forward [1</w:t>
      </w:r>
      <w:r w:rsidR="005529CE">
        <w:rPr>
          <w:rFonts w:eastAsia="SimSun"/>
          <w:lang w:eastAsia="zh-CN"/>
        </w:rPr>
        <w:t>] agreed</w:t>
      </w:r>
      <w:r w:rsidR="00E26107">
        <w:rPr>
          <w:rFonts w:eastAsia="SimSun"/>
          <w:lang w:eastAsia="zh-CN"/>
        </w:rPr>
        <w:t xml:space="preserve"> </w:t>
      </w:r>
      <w:r w:rsidR="005A57D5">
        <w:rPr>
          <w:rFonts w:eastAsia="SimSun"/>
          <w:lang w:eastAsia="zh-CN"/>
        </w:rPr>
        <w:t xml:space="preserve">on the contiguous and non-contiguous allocation MPR for class B and class C UL CA based on the baseline architecture evaluation. </w:t>
      </w:r>
      <w:r w:rsidR="003925E1">
        <w:rPr>
          <w:rFonts w:eastAsia="SimSun"/>
          <w:lang w:eastAsia="zh-CN"/>
        </w:rPr>
        <w:t xml:space="preserve">In previous meetings, the architecture using two PC3 PAs using </w:t>
      </w:r>
      <w:proofErr w:type="spellStart"/>
      <w:r w:rsidR="003925E1">
        <w:rPr>
          <w:rFonts w:eastAsia="SimSun"/>
          <w:lang w:eastAsia="zh-CN"/>
        </w:rPr>
        <w:t>TxDiv</w:t>
      </w:r>
      <w:proofErr w:type="spellEnd"/>
      <w:r w:rsidR="003925E1">
        <w:rPr>
          <w:rFonts w:eastAsia="SimSun"/>
          <w:lang w:eastAsia="zh-CN"/>
        </w:rPr>
        <w:t xml:space="preserve"> or UL MIMO to achieve PC2 were discussed and a specific goal added for the later in the WI</w:t>
      </w:r>
      <w:r w:rsidR="00CC4922">
        <w:rPr>
          <w:rFonts w:eastAsia="SimSun"/>
          <w:lang w:eastAsia="zh-CN"/>
        </w:rPr>
        <w:t xml:space="preserve">. </w:t>
      </w:r>
      <w:r w:rsidR="00034699" w:rsidRPr="00034699">
        <w:rPr>
          <w:rFonts w:eastAsia="SimSun"/>
          <w:lang w:eastAsia="zh-CN"/>
        </w:rPr>
        <w:t xml:space="preserve">In this contribution, we discuss the status of the </w:t>
      </w:r>
      <w:proofErr w:type="spellStart"/>
      <w:r w:rsidR="00034699" w:rsidRPr="00034699">
        <w:rPr>
          <w:rFonts w:eastAsia="SimSun"/>
          <w:lang w:eastAsia="zh-CN"/>
        </w:rPr>
        <w:t>TxDiv</w:t>
      </w:r>
      <w:proofErr w:type="spellEnd"/>
      <w:r w:rsidR="00034699" w:rsidRPr="00034699">
        <w:rPr>
          <w:rFonts w:eastAsia="SimSun"/>
          <w:lang w:eastAsia="zh-CN"/>
        </w:rPr>
        <w:t xml:space="preserve"> and UL MIMO MPR for single CC and its impact to the PC2 contiguous UL CA MPR work and suggest that separate MPR requirement is set for th</w:t>
      </w:r>
      <w:r w:rsidR="003925E1">
        <w:rPr>
          <w:rFonts w:eastAsia="SimSun"/>
          <w:lang w:eastAsia="zh-CN"/>
        </w:rPr>
        <w:t>ese</w:t>
      </w:r>
      <w:r w:rsidR="00034699" w:rsidRPr="00034699">
        <w:rPr>
          <w:rFonts w:eastAsia="SimSun"/>
          <w:lang w:eastAsia="zh-CN"/>
        </w:rPr>
        <w:t xml:space="preserve"> two cases from the already agreed baseline architecture MPR.</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31BF11AE" w14:textId="4F50F844" w:rsidR="00B1655E" w:rsidRPr="00A808BC" w:rsidRDefault="003925E1" w:rsidP="00B1655E">
      <w:pPr>
        <w:pStyle w:val="Heading2"/>
        <w:spacing w:after="240"/>
        <w:rPr>
          <w:lang w:eastAsia="zh-CN"/>
        </w:rPr>
      </w:pPr>
      <w:r>
        <w:rPr>
          <w:lang w:eastAsia="zh-CN"/>
        </w:rPr>
        <w:t>Status</w:t>
      </w:r>
      <w:r w:rsidR="00545873">
        <w:rPr>
          <w:lang w:eastAsia="zh-CN"/>
        </w:rPr>
        <w:t xml:space="preserve"> of MPR </w:t>
      </w:r>
      <w:r>
        <w:rPr>
          <w:lang w:eastAsia="zh-CN"/>
        </w:rPr>
        <w:t>evaluation</w:t>
      </w:r>
      <w:r w:rsidR="00545873">
        <w:rPr>
          <w:lang w:eastAsia="zh-CN"/>
        </w:rPr>
        <w:t xml:space="preserve"> for </w:t>
      </w:r>
      <w:proofErr w:type="spellStart"/>
      <w:r w:rsidR="00545873">
        <w:rPr>
          <w:lang w:eastAsia="zh-CN"/>
        </w:rPr>
        <w:t>TxDiv</w:t>
      </w:r>
      <w:proofErr w:type="spellEnd"/>
      <w:r w:rsidR="00545873">
        <w:rPr>
          <w:lang w:eastAsia="zh-CN"/>
        </w:rPr>
        <w:t xml:space="preserve"> and UL MIMO</w:t>
      </w:r>
      <w:r>
        <w:rPr>
          <w:lang w:eastAsia="zh-CN"/>
        </w:rPr>
        <w:t xml:space="preserve"> for single carrier</w:t>
      </w:r>
    </w:p>
    <w:p w14:paraId="08921167" w14:textId="7CAA21BB" w:rsidR="003925E1" w:rsidRDefault="00E26107" w:rsidP="0060284B">
      <w:pPr>
        <w:spacing w:after="0"/>
      </w:pPr>
      <w:r>
        <w:t>In [2], we discussed in details the potential accuracy issues that arise in the evaluation of coupled PAs with reverse IMD impact and the sum of each path for emissions due to impairments in the setup, and the input waveforms used</w:t>
      </w:r>
      <w:r w:rsidR="003925E1">
        <w:t>.</w:t>
      </w:r>
    </w:p>
    <w:p w14:paraId="641F99CC" w14:textId="77777777" w:rsidR="003925E1" w:rsidRDefault="003925E1" w:rsidP="0060284B">
      <w:pPr>
        <w:spacing w:after="0"/>
      </w:pPr>
    </w:p>
    <w:p w14:paraId="0FA09C80" w14:textId="5F2B030F" w:rsidR="003925E1" w:rsidRDefault="003925E1" w:rsidP="0060284B">
      <w:pPr>
        <w:spacing w:after="0"/>
      </w:pPr>
      <w:r>
        <w:t>We also provided an evaluation of the impact of different PA calibrations, reverse IMD and waveform choices (CDD delay, phase shifts for single stream UL MIMO)</w:t>
      </w:r>
      <w:r w:rsidR="00E26107">
        <w:t xml:space="preserve">. We do not repeat the discussion here </w:t>
      </w:r>
      <w:r w:rsidR="008263C8">
        <w:t>as</w:t>
      </w:r>
      <w:r>
        <w:t xml:space="preserve"> it does not yet provide MPR values, </w:t>
      </w:r>
      <w:r w:rsidR="008263C8">
        <w:t xml:space="preserve">but </w:t>
      </w:r>
      <w:r>
        <w:t>it results in assessing the need for a different MPR tables for:</w:t>
      </w:r>
    </w:p>
    <w:p w14:paraId="02D5FB2F" w14:textId="3218D1D1" w:rsidR="00E26107" w:rsidRDefault="003925E1" w:rsidP="003925E1">
      <w:pPr>
        <w:pStyle w:val="ListParagraph"/>
        <w:numPr>
          <w:ilvl w:val="0"/>
          <w:numId w:val="23"/>
        </w:numPr>
        <w:spacing w:after="0"/>
      </w:pPr>
      <w:r>
        <w:t>PC2 2Tx based on PC3+PC3 PA calibration with slightly higher MPR than 1Tx case</w:t>
      </w:r>
    </w:p>
    <w:p w14:paraId="47F58C6B" w14:textId="445CFC2A" w:rsidR="003925E1" w:rsidRDefault="001D2384" w:rsidP="003925E1">
      <w:pPr>
        <w:pStyle w:val="ListParagraph"/>
        <w:numPr>
          <w:ilvl w:val="0"/>
          <w:numId w:val="23"/>
        </w:numPr>
        <w:spacing w:after="0"/>
      </w:pPr>
      <w:r>
        <w:t>PC2 2Tx based on PC2+PC2 PA calibration to at least reuse 1TX PC2 MPR thanks to the intrinsic 3dB margin.</w:t>
      </w:r>
    </w:p>
    <w:p w14:paraId="251726FC" w14:textId="0435ECF0" w:rsidR="001D2384" w:rsidRDefault="001D2384" w:rsidP="003925E1">
      <w:pPr>
        <w:pStyle w:val="ListParagraph"/>
        <w:numPr>
          <w:ilvl w:val="0"/>
          <w:numId w:val="23"/>
        </w:numPr>
        <w:spacing w:after="0"/>
      </w:pPr>
      <w:r>
        <w:t>FFS is same MPR values are used for the corresponding UL MIMO cases.</w:t>
      </w:r>
    </w:p>
    <w:p w14:paraId="043F4613" w14:textId="77777777" w:rsidR="001D2384" w:rsidRDefault="001D2384" w:rsidP="001D2384">
      <w:pPr>
        <w:spacing w:after="0"/>
      </w:pPr>
    </w:p>
    <w:p w14:paraId="4D4925D2" w14:textId="23CF6132" w:rsidR="001D2384" w:rsidRDefault="001D2384" w:rsidP="001D2384">
      <w:pPr>
        <w:spacing w:after="0"/>
      </w:pPr>
      <w:r>
        <w:t>Note that similar aspects are also discussed for PC1.5 looking into options to improved MPR for FWA.</w:t>
      </w:r>
    </w:p>
    <w:p w14:paraId="3E42BDD6" w14:textId="77777777" w:rsidR="001D2384" w:rsidRDefault="001D2384" w:rsidP="001D2384">
      <w:pPr>
        <w:spacing w:after="0"/>
      </w:pPr>
    </w:p>
    <w:p w14:paraId="1A021DD1" w14:textId="10214486" w:rsidR="001D2384" w:rsidRPr="001D2384" w:rsidRDefault="001D2384" w:rsidP="001D2384">
      <w:pPr>
        <w:spacing w:after="0"/>
        <w:rPr>
          <w:b/>
        </w:rPr>
      </w:pPr>
      <w:r w:rsidRPr="001D2384">
        <w:rPr>
          <w:b/>
        </w:rPr>
        <w:t xml:space="preserve">Observation: </w:t>
      </w:r>
      <w:proofErr w:type="spellStart"/>
      <w:r w:rsidRPr="001D2384">
        <w:rPr>
          <w:b/>
        </w:rPr>
        <w:t>TxDiv</w:t>
      </w:r>
      <w:proofErr w:type="spellEnd"/>
      <w:r w:rsidRPr="001D2384">
        <w:rPr>
          <w:b/>
        </w:rPr>
        <w:t xml:space="preserve"> single CC 2Tx MPR values for PC1.5 and PC2 are still being </w:t>
      </w:r>
      <w:r w:rsidR="0088580D" w:rsidRPr="001D2384">
        <w:rPr>
          <w:b/>
        </w:rPr>
        <w:t>evaluated</w:t>
      </w:r>
      <w:r w:rsidRPr="001D2384">
        <w:rPr>
          <w:b/>
        </w:rPr>
        <w:t xml:space="preserve"> and their link to UL MIMO operation </w:t>
      </w:r>
      <w:r w:rsidR="008263C8">
        <w:rPr>
          <w:b/>
        </w:rPr>
        <w:t xml:space="preserve">is </w:t>
      </w:r>
      <w:r w:rsidRPr="001D2384">
        <w:rPr>
          <w:b/>
        </w:rPr>
        <w:t>still open for PC2</w:t>
      </w:r>
      <w:r w:rsidR="00634D81">
        <w:rPr>
          <w:b/>
        </w:rPr>
        <w:t>,</w:t>
      </w:r>
      <w:r w:rsidRPr="001D2384">
        <w:rPr>
          <w:b/>
        </w:rPr>
        <w:t xml:space="preserve"> but is already common for the current PC1.5 2Tx MPR table.</w:t>
      </w:r>
    </w:p>
    <w:p w14:paraId="6611DEDD" w14:textId="77777777" w:rsidR="00E26107" w:rsidRDefault="00E26107" w:rsidP="0060284B">
      <w:pPr>
        <w:spacing w:after="0"/>
        <w:rPr>
          <w:b/>
        </w:rPr>
      </w:pPr>
    </w:p>
    <w:p w14:paraId="1A3B0B8B" w14:textId="4A0D19FD" w:rsidR="001D2384" w:rsidRDefault="001D2384" w:rsidP="0060284B">
      <w:pPr>
        <w:spacing w:after="0"/>
      </w:pPr>
      <w:r w:rsidRPr="001D2384">
        <w:t>Separately in [1]</w:t>
      </w:r>
      <w:r>
        <w:t xml:space="preserve"> we already have agreements on MPR values for PC2 UL CA class B and C for contiguous and non-contiguous allocations based on the baseline one LO one 200MHz PC2 PA architecture that does support the two LO two 100MHz PC2 PA implementation.</w:t>
      </w:r>
    </w:p>
    <w:p w14:paraId="5BCC5CB3" w14:textId="77777777" w:rsidR="001D2384" w:rsidRDefault="001D2384" w:rsidP="0060284B">
      <w:pPr>
        <w:spacing w:after="0"/>
      </w:pPr>
    </w:p>
    <w:p w14:paraId="2C20B247" w14:textId="2B276C89" w:rsidR="0088580D" w:rsidRPr="001D2384" w:rsidRDefault="0088580D" w:rsidP="0088580D">
      <w:pPr>
        <w:spacing w:after="0"/>
        <w:rPr>
          <w:b/>
        </w:rPr>
      </w:pPr>
      <w:r w:rsidRPr="001D2384">
        <w:rPr>
          <w:b/>
        </w:rPr>
        <w:t xml:space="preserve">Observation: </w:t>
      </w:r>
      <w:r>
        <w:rPr>
          <w:b/>
        </w:rPr>
        <w:t xml:space="preserve">PC2 UL CA class B and C </w:t>
      </w:r>
      <w:r w:rsidRPr="001D2384">
        <w:rPr>
          <w:b/>
        </w:rPr>
        <w:t xml:space="preserve">MPR values </w:t>
      </w:r>
      <w:r>
        <w:rPr>
          <w:b/>
        </w:rPr>
        <w:t>are agreed for the baseline architecture</w:t>
      </w:r>
    </w:p>
    <w:p w14:paraId="73AAEC61" w14:textId="77777777" w:rsidR="001D2384" w:rsidRDefault="001D2384" w:rsidP="0060284B">
      <w:pPr>
        <w:spacing w:after="0"/>
      </w:pPr>
    </w:p>
    <w:p w14:paraId="6F34BA5A" w14:textId="77777777" w:rsidR="0088580D" w:rsidRDefault="0088580D" w:rsidP="0060284B">
      <w:pPr>
        <w:spacing w:after="0"/>
      </w:pPr>
      <w:r>
        <w:t>Given the above aspects, it is clear that:</w:t>
      </w:r>
    </w:p>
    <w:p w14:paraId="290D86F0" w14:textId="674E75A2" w:rsidR="0088580D" w:rsidRDefault="0088580D" w:rsidP="0088580D">
      <w:pPr>
        <w:pStyle w:val="ListParagraph"/>
        <w:numPr>
          <w:ilvl w:val="0"/>
          <w:numId w:val="24"/>
        </w:numPr>
        <w:spacing w:after="0"/>
      </w:pPr>
      <w:r>
        <w:t xml:space="preserve">On one hand, in order to finalize both </w:t>
      </w:r>
      <w:proofErr w:type="spellStart"/>
      <w:r>
        <w:t>TxDiv</w:t>
      </w:r>
      <w:proofErr w:type="spellEnd"/>
      <w:r>
        <w:t xml:space="preserve"> and UL MIMO MPR for UL CA</w:t>
      </w:r>
      <w:r w:rsidR="008263C8">
        <w:t>,</w:t>
      </w:r>
      <w:r>
        <w:t xml:space="preserve"> the single CC requirements should be available</w:t>
      </w:r>
    </w:p>
    <w:p w14:paraId="227B7B72" w14:textId="4803C774" w:rsidR="0088580D" w:rsidRDefault="0088580D" w:rsidP="0088580D">
      <w:pPr>
        <w:pStyle w:val="ListParagraph"/>
        <w:numPr>
          <w:ilvl w:val="0"/>
          <w:numId w:val="24"/>
        </w:numPr>
        <w:spacing w:after="0"/>
      </w:pPr>
      <w:r>
        <w:t>On the other hand</w:t>
      </w:r>
      <w:r w:rsidR="008263C8">
        <w:t>,</w:t>
      </w:r>
      <w:r>
        <w:t xml:space="preserve"> the baseline architecture MPR is agreed and also covers the 2LO/2PA case while, based on the single CC understanding, the </w:t>
      </w:r>
      <w:proofErr w:type="spellStart"/>
      <w:r>
        <w:t>TxDiv</w:t>
      </w:r>
      <w:proofErr w:type="spellEnd"/>
      <w:r>
        <w:t xml:space="preserve"> and UL MIMO MPR will be higher than the baseline.</w:t>
      </w:r>
    </w:p>
    <w:p w14:paraId="231735FB" w14:textId="19C5D254" w:rsidR="008A5EC5" w:rsidRPr="00A808BC" w:rsidRDefault="008A5EC5" w:rsidP="008A5EC5">
      <w:pPr>
        <w:pStyle w:val="Heading2"/>
        <w:spacing w:after="240"/>
        <w:rPr>
          <w:lang w:eastAsia="zh-CN"/>
        </w:rPr>
      </w:pPr>
      <w:r>
        <w:rPr>
          <w:lang w:eastAsia="zh-CN"/>
        </w:rPr>
        <w:t xml:space="preserve">Proposal for class B and C UL CA MPR with </w:t>
      </w:r>
      <w:proofErr w:type="spellStart"/>
      <w:r>
        <w:rPr>
          <w:lang w:eastAsia="zh-CN"/>
        </w:rPr>
        <w:t>TxDiv</w:t>
      </w:r>
      <w:proofErr w:type="spellEnd"/>
      <w:r>
        <w:rPr>
          <w:lang w:eastAsia="zh-CN"/>
        </w:rPr>
        <w:t xml:space="preserve"> and UL MIMO</w:t>
      </w:r>
    </w:p>
    <w:p w14:paraId="423F9770" w14:textId="49D68089" w:rsidR="0088580D" w:rsidRPr="001D2384" w:rsidRDefault="008A5EC5" w:rsidP="0088580D">
      <w:pPr>
        <w:spacing w:after="0"/>
      </w:pPr>
      <w:r>
        <w:t>Given the current status for single CC MPR and the work accomplished for baseline PC2 class B and C ULCA described in previous chapter, we make the following proposal</w:t>
      </w:r>
      <w:r w:rsidR="0088580D">
        <w:t>.</w:t>
      </w:r>
    </w:p>
    <w:p w14:paraId="6636A11F" w14:textId="77777777" w:rsidR="001D2384" w:rsidRDefault="001D2384" w:rsidP="0060284B">
      <w:pPr>
        <w:spacing w:after="0"/>
        <w:rPr>
          <w:b/>
        </w:rPr>
      </w:pPr>
    </w:p>
    <w:p w14:paraId="3B4BAA9D" w14:textId="6873CF43" w:rsidR="00BD4053" w:rsidRDefault="00CF69FD" w:rsidP="0060284B">
      <w:pPr>
        <w:spacing w:after="0"/>
        <w:rPr>
          <w:b/>
        </w:rPr>
      </w:pPr>
      <w:r>
        <w:rPr>
          <w:b/>
        </w:rPr>
        <w:t>Proposal</w:t>
      </w:r>
      <w:r w:rsidR="00BD4053">
        <w:rPr>
          <w:b/>
        </w:rPr>
        <w:t xml:space="preserve"> on </w:t>
      </w:r>
      <w:proofErr w:type="spellStart"/>
      <w:r w:rsidR="00BD4053">
        <w:rPr>
          <w:b/>
        </w:rPr>
        <w:t>TxDiv</w:t>
      </w:r>
      <w:proofErr w:type="spellEnd"/>
      <w:r w:rsidR="00BD4053">
        <w:rPr>
          <w:b/>
        </w:rPr>
        <w:t xml:space="preserve"> and UL MIMO </w:t>
      </w:r>
      <w:r w:rsidR="0088580D">
        <w:rPr>
          <w:b/>
        </w:rPr>
        <w:t>contiguous UL CA MPR</w:t>
      </w:r>
      <w:r w:rsidR="00BD4053">
        <w:rPr>
          <w:b/>
        </w:rPr>
        <w:t>:</w:t>
      </w:r>
    </w:p>
    <w:p w14:paraId="1B62C7F3" w14:textId="5522ABD1" w:rsidR="00BD4053" w:rsidRDefault="00BD4053" w:rsidP="00BD4053">
      <w:pPr>
        <w:pStyle w:val="ListParagraph"/>
        <w:numPr>
          <w:ilvl w:val="0"/>
          <w:numId w:val="16"/>
        </w:numPr>
        <w:spacing w:after="0"/>
        <w:rPr>
          <w:b/>
        </w:rPr>
      </w:pPr>
      <w:r>
        <w:rPr>
          <w:b/>
        </w:rPr>
        <w:t xml:space="preserve">The </w:t>
      </w:r>
      <w:r w:rsidR="0088580D">
        <w:rPr>
          <w:b/>
        </w:rPr>
        <w:t xml:space="preserve">agreed baseline architecture MPR is used for the 38.101-1 requirement for </w:t>
      </w:r>
      <w:r w:rsidR="008A5EC5">
        <w:rPr>
          <w:b/>
        </w:rPr>
        <w:t xml:space="preserve">PC2 UL CA class B and C for </w:t>
      </w:r>
      <w:r w:rsidR="0088580D">
        <w:rPr>
          <w:b/>
        </w:rPr>
        <w:t xml:space="preserve">the UEs that do not signal support for </w:t>
      </w:r>
      <w:proofErr w:type="spellStart"/>
      <w:r w:rsidR="0088580D">
        <w:rPr>
          <w:b/>
        </w:rPr>
        <w:t>TxDiv</w:t>
      </w:r>
      <w:proofErr w:type="spellEnd"/>
      <w:r w:rsidR="0088580D">
        <w:rPr>
          <w:b/>
        </w:rPr>
        <w:t xml:space="preserve"> </w:t>
      </w:r>
      <w:bookmarkStart w:id="2" w:name="_GoBack"/>
      <w:bookmarkEnd w:id="2"/>
      <w:r w:rsidR="0088580D">
        <w:rPr>
          <w:b/>
        </w:rPr>
        <w:t>or UL MIMO to be able to support PC2</w:t>
      </w:r>
    </w:p>
    <w:p w14:paraId="758D9E61" w14:textId="507FA1E1" w:rsidR="005F7471" w:rsidRDefault="005F7471" w:rsidP="00BD4053">
      <w:pPr>
        <w:pStyle w:val="ListParagraph"/>
        <w:numPr>
          <w:ilvl w:val="0"/>
          <w:numId w:val="16"/>
        </w:numPr>
        <w:spacing w:after="0"/>
        <w:rPr>
          <w:b/>
        </w:rPr>
      </w:pPr>
      <w:r>
        <w:rPr>
          <w:b/>
        </w:rPr>
        <w:t>UL MIMO support for ULCA with 1LO+2PC2 PA is supported by the spec and can reuse the baseline MPR thanks to 3dB intrinsic headroom</w:t>
      </w:r>
    </w:p>
    <w:p w14:paraId="62EBA663" w14:textId="74758001" w:rsidR="004C2267" w:rsidRDefault="005F7471" w:rsidP="005F7471">
      <w:pPr>
        <w:pStyle w:val="ListParagraph"/>
        <w:numPr>
          <w:ilvl w:val="0"/>
          <w:numId w:val="16"/>
        </w:numPr>
        <w:spacing w:after="0"/>
        <w:rPr>
          <w:b/>
        </w:rPr>
      </w:pPr>
      <w:r>
        <w:rPr>
          <w:b/>
        </w:rPr>
        <w:t xml:space="preserve">A separate MPR requirement is developed for class B UL CA with </w:t>
      </w:r>
      <w:proofErr w:type="spellStart"/>
      <w:r>
        <w:rPr>
          <w:b/>
        </w:rPr>
        <w:t>TxDiv</w:t>
      </w:r>
      <w:proofErr w:type="spellEnd"/>
      <w:r>
        <w:rPr>
          <w:b/>
        </w:rPr>
        <w:t xml:space="preserve"> or UL MIMO based on 1LO/2PC3 PAs and evaluation is started after corresponding single CC is specified.</w:t>
      </w:r>
    </w:p>
    <w:p w14:paraId="7BE54F94" w14:textId="77777777" w:rsidR="00305289" w:rsidRDefault="00305289" w:rsidP="00305289">
      <w:pPr>
        <w:pStyle w:val="Heading1"/>
      </w:pPr>
      <w:r>
        <w:lastRenderedPageBreak/>
        <w:t>Conclusions</w:t>
      </w:r>
    </w:p>
    <w:p w14:paraId="668EC425" w14:textId="7DDDC939" w:rsidR="00CF69FD" w:rsidRDefault="005F7471" w:rsidP="00FE650D">
      <w:pPr>
        <w:spacing w:after="0"/>
        <w:jc w:val="both"/>
        <w:rPr>
          <w:rFonts w:eastAsia="SimSun"/>
          <w:lang w:eastAsia="zh-CN"/>
        </w:rPr>
      </w:pPr>
      <w:r w:rsidRPr="00034699">
        <w:rPr>
          <w:rFonts w:eastAsia="SimSun"/>
          <w:lang w:eastAsia="zh-CN"/>
        </w:rPr>
        <w:t xml:space="preserve">In this contribution, we discuss the status of the </w:t>
      </w:r>
      <w:proofErr w:type="spellStart"/>
      <w:r w:rsidRPr="00034699">
        <w:rPr>
          <w:rFonts w:eastAsia="SimSun"/>
          <w:lang w:eastAsia="zh-CN"/>
        </w:rPr>
        <w:t>TxDiv</w:t>
      </w:r>
      <w:proofErr w:type="spellEnd"/>
      <w:r w:rsidRPr="00034699">
        <w:rPr>
          <w:rFonts w:eastAsia="SimSun"/>
          <w:lang w:eastAsia="zh-CN"/>
        </w:rPr>
        <w:t xml:space="preserve"> and UL MIMO MPR for single CC and its impact to the PC2 contiguous UL CA MPR work and suggest that separate MPR requirement is set for th</w:t>
      </w:r>
      <w:r>
        <w:rPr>
          <w:rFonts w:eastAsia="SimSun"/>
          <w:lang w:eastAsia="zh-CN"/>
        </w:rPr>
        <w:t>ese</w:t>
      </w:r>
      <w:r w:rsidRPr="00034699">
        <w:rPr>
          <w:rFonts w:eastAsia="SimSun"/>
          <w:lang w:eastAsia="zh-CN"/>
        </w:rPr>
        <w:t xml:space="preserve"> two cases from the already agreed baseline architecture MPR.</w:t>
      </w:r>
      <w:r>
        <w:rPr>
          <w:rFonts w:eastAsia="SimSun"/>
          <w:lang w:eastAsia="zh-CN"/>
        </w:rPr>
        <w:t xml:space="preserve"> We thus make the following proposal.</w:t>
      </w:r>
    </w:p>
    <w:p w14:paraId="33DC9D29" w14:textId="77777777" w:rsidR="005F7471" w:rsidRDefault="005F7471" w:rsidP="00FE650D">
      <w:pPr>
        <w:spacing w:after="0"/>
        <w:jc w:val="both"/>
      </w:pPr>
    </w:p>
    <w:p w14:paraId="30D3515A" w14:textId="77777777" w:rsidR="005F7471" w:rsidRDefault="005F7471" w:rsidP="005F7471">
      <w:pPr>
        <w:spacing w:after="0"/>
        <w:rPr>
          <w:b/>
        </w:rPr>
      </w:pPr>
      <w:r>
        <w:rPr>
          <w:b/>
        </w:rPr>
        <w:t xml:space="preserve">Proposal on </w:t>
      </w:r>
      <w:proofErr w:type="spellStart"/>
      <w:r>
        <w:rPr>
          <w:b/>
        </w:rPr>
        <w:t>TxDiv</w:t>
      </w:r>
      <w:proofErr w:type="spellEnd"/>
      <w:r>
        <w:rPr>
          <w:b/>
        </w:rPr>
        <w:t xml:space="preserve"> and UL MIMO contiguous UL CA MPR:</w:t>
      </w:r>
    </w:p>
    <w:p w14:paraId="35E4B8F8" w14:textId="77777777" w:rsidR="005F7471" w:rsidRDefault="005F7471" w:rsidP="005F7471">
      <w:pPr>
        <w:pStyle w:val="ListParagraph"/>
        <w:numPr>
          <w:ilvl w:val="0"/>
          <w:numId w:val="16"/>
        </w:numPr>
        <w:spacing w:after="0"/>
        <w:rPr>
          <w:b/>
        </w:rPr>
      </w:pPr>
      <w:r>
        <w:rPr>
          <w:b/>
        </w:rPr>
        <w:t xml:space="preserve">The agreed baseline architecture MPR is used for the 38.101-1 requirement for the UEs that do not signal support for </w:t>
      </w:r>
      <w:proofErr w:type="spellStart"/>
      <w:r>
        <w:rPr>
          <w:b/>
        </w:rPr>
        <w:t>TxDiv</w:t>
      </w:r>
      <w:proofErr w:type="spellEnd"/>
      <w:r>
        <w:rPr>
          <w:b/>
        </w:rPr>
        <w:t xml:space="preserve"> or UL MIMO to be able to support PC2</w:t>
      </w:r>
    </w:p>
    <w:p w14:paraId="2298E2AE" w14:textId="77777777" w:rsidR="005F7471" w:rsidRDefault="005F7471" w:rsidP="005F7471">
      <w:pPr>
        <w:pStyle w:val="ListParagraph"/>
        <w:numPr>
          <w:ilvl w:val="0"/>
          <w:numId w:val="16"/>
        </w:numPr>
        <w:spacing w:after="0"/>
        <w:rPr>
          <w:b/>
        </w:rPr>
      </w:pPr>
      <w:r>
        <w:rPr>
          <w:b/>
        </w:rPr>
        <w:t>UL MIMO support for ULCA with 1LO+2PC2 PA is supported by the spec and can reuse the baseline MPR thanks to 3dB intrinsic headroom</w:t>
      </w:r>
    </w:p>
    <w:p w14:paraId="5E3CE5DB" w14:textId="77777777" w:rsidR="005F7471" w:rsidRDefault="005F7471" w:rsidP="005F7471">
      <w:pPr>
        <w:pStyle w:val="ListParagraph"/>
        <w:numPr>
          <w:ilvl w:val="0"/>
          <w:numId w:val="16"/>
        </w:numPr>
        <w:spacing w:after="0"/>
        <w:rPr>
          <w:b/>
        </w:rPr>
      </w:pPr>
      <w:r>
        <w:rPr>
          <w:b/>
        </w:rPr>
        <w:t xml:space="preserve">A separate MPR requirement is developed for class B UL CA with </w:t>
      </w:r>
      <w:proofErr w:type="spellStart"/>
      <w:r>
        <w:rPr>
          <w:b/>
        </w:rPr>
        <w:t>TxDiv</w:t>
      </w:r>
      <w:proofErr w:type="spellEnd"/>
      <w:r>
        <w:rPr>
          <w:b/>
        </w:rPr>
        <w:t xml:space="preserve"> or UL MIMO based on 1LO/2PC3 PAs and evaluation is started after corresponding single CC is specified.</w:t>
      </w:r>
    </w:p>
    <w:p w14:paraId="03D6921F" w14:textId="77777777" w:rsidR="00F10F97" w:rsidRDefault="007321E3" w:rsidP="00C8525F">
      <w:pPr>
        <w:pStyle w:val="Heading1"/>
        <w:numPr>
          <w:ilvl w:val="0"/>
          <w:numId w:val="0"/>
        </w:numPr>
        <w:jc w:val="both"/>
      </w:pPr>
      <w:r>
        <w:t>R</w:t>
      </w:r>
      <w:r w:rsidR="00F10F97">
        <w:t>eferences</w:t>
      </w:r>
    </w:p>
    <w:p w14:paraId="3C56241F" w14:textId="68EE4CB0" w:rsidR="00A808BC" w:rsidRDefault="00674679" w:rsidP="00545873">
      <w:r>
        <w:t>[1</w:t>
      </w:r>
      <w:r w:rsidRPr="00DD0023">
        <w:t>]</w:t>
      </w:r>
      <w:r>
        <w:t xml:space="preserve"> </w:t>
      </w:r>
      <w:r w:rsidR="005A57D5" w:rsidRPr="005A57D5">
        <w:t>R4-2105388</w:t>
      </w:r>
      <w:r w:rsidR="005A57D5">
        <w:t>,</w:t>
      </w:r>
      <w:r w:rsidR="005A57D5" w:rsidRPr="005A57D5">
        <w:tab/>
        <w:t>Way forward on MPR/AMPR requirements for PC2 intra-band UL contiguous CA</w:t>
      </w:r>
      <w:r w:rsidR="00545873">
        <w:t>, Skyworks</w:t>
      </w:r>
      <w:r w:rsidR="00A808BC" w:rsidRPr="00A808BC">
        <w:t>,</w:t>
      </w:r>
      <w:r w:rsidR="00A808BC">
        <w:t xml:space="preserve"> </w:t>
      </w:r>
      <w:r w:rsidR="00BD166C">
        <w:t>RAN</w:t>
      </w:r>
      <w:r w:rsidR="00A808BC">
        <w:t>4</w:t>
      </w:r>
      <w:r>
        <w:t>#9</w:t>
      </w:r>
      <w:r w:rsidR="00A808BC">
        <w:t>8</w:t>
      </w:r>
      <w:r w:rsidR="00476843">
        <w:t>be</w:t>
      </w:r>
    </w:p>
    <w:p w14:paraId="7BAD96DF" w14:textId="23E5C9D9" w:rsidR="00B4656D" w:rsidRDefault="00B4656D">
      <w:r>
        <w:t>[</w:t>
      </w:r>
      <w:r w:rsidR="00545873">
        <w:t>2</w:t>
      </w:r>
      <w:r>
        <w:t xml:space="preserve">] </w:t>
      </w:r>
      <w:r w:rsidR="0061753F" w:rsidRPr="0061753F">
        <w:t>R4-2111011</w:t>
      </w:r>
      <w:r w:rsidR="0061753F">
        <w:t>,</w:t>
      </w:r>
      <w:r w:rsidR="0061753F" w:rsidRPr="0061753F">
        <w:t xml:space="preserve"> MPR evaluation for PC2 transparent </w:t>
      </w:r>
      <w:proofErr w:type="spellStart"/>
      <w:proofErr w:type="gramStart"/>
      <w:r w:rsidR="0061753F" w:rsidRPr="0061753F">
        <w:t>Tx</w:t>
      </w:r>
      <w:proofErr w:type="spellEnd"/>
      <w:proofErr w:type="gramEnd"/>
      <w:r w:rsidR="0061753F" w:rsidRPr="0061753F">
        <w:t xml:space="preserve"> Diversity</w:t>
      </w:r>
      <w:r w:rsidRPr="00B4656D">
        <w:t>, Skyworks Solutions Inc</w:t>
      </w:r>
      <w:r>
        <w:t xml:space="preserve">., </w:t>
      </w:r>
      <w:r w:rsidR="00545873">
        <w:t>RAN4#99</w:t>
      </w:r>
      <w:r w:rsidR="00AB4C57">
        <w:t>e</w:t>
      </w:r>
    </w:p>
    <w:sectPr w:rsidR="00B4656D" w:rsidSect="0072107A">
      <w:footerReference w:type="default" r:id="rId9"/>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2E5CD6" w14:textId="77777777" w:rsidR="0018055C" w:rsidRDefault="0018055C">
      <w:r>
        <w:separator/>
      </w:r>
    </w:p>
  </w:endnote>
  <w:endnote w:type="continuationSeparator" w:id="0">
    <w:p w14:paraId="31B44049" w14:textId="77777777" w:rsidR="0018055C" w:rsidRDefault="0018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E812B" w14:textId="77777777" w:rsidR="0018055C" w:rsidRDefault="0018055C">
      <w:r>
        <w:separator/>
      </w:r>
    </w:p>
  </w:footnote>
  <w:footnote w:type="continuationSeparator" w:id="0">
    <w:p w14:paraId="38FAEFB6" w14:textId="77777777" w:rsidR="0018055C" w:rsidRDefault="001805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4073851"/>
    <w:multiLevelType w:val="hybridMultilevel"/>
    <w:tmpl w:val="71C8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F438A6"/>
    <w:multiLevelType w:val="hybridMultilevel"/>
    <w:tmpl w:val="D3448C6E"/>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13"/>
  </w:num>
  <w:num w:numId="4">
    <w:abstractNumId w:val="23"/>
  </w:num>
  <w:num w:numId="5">
    <w:abstractNumId w:val="7"/>
  </w:num>
  <w:num w:numId="6">
    <w:abstractNumId w:val="3"/>
  </w:num>
  <w:num w:numId="7">
    <w:abstractNumId w:val="14"/>
  </w:num>
  <w:num w:numId="8">
    <w:abstractNumId w:val="19"/>
  </w:num>
  <w:num w:numId="9">
    <w:abstractNumId w:val="22"/>
  </w:num>
  <w:num w:numId="10">
    <w:abstractNumId w:val="9"/>
  </w:num>
  <w:num w:numId="11">
    <w:abstractNumId w:val="1"/>
  </w:num>
  <w:num w:numId="12">
    <w:abstractNumId w:val="16"/>
  </w:num>
  <w:num w:numId="13">
    <w:abstractNumId w:val="0"/>
  </w:num>
  <w:num w:numId="14">
    <w:abstractNumId w:val="21"/>
  </w:num>
  <w:num w:numId="15">
    <w:abstractNumId w:val="15"/>
  </w:num>
  <w:num w:numId="16">
    <w:abstractNumId w:val="8"/>
  </w:num>
  <w:num w:numId="17">
    <w:abstractNumId w:val="10"/>
  </w:num>
  <w:num w:numId="18">
    <w:abstractNumId w:val="11"/>
  </w:num>
  <w:num w:numId="19">
    <w:abstractNumId w:val="2"/>
  </w:num>
  <w:num w:numId="20">
    <w:abstractNumId w:val="5"/>
  </w:num>
  <w:num w:numId="21">
    <w:abstractNumId w:val="6"/>
  </w:num>
  <w:num w:numId="22">
    <w:abstractNumId w:val="20"/>
  </w:num>
  <w:num w:numId="23">
    <w:abstractNumId w:val="18"/>
  </w:num>
  <w:num w:numId="2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699"/>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967"/>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A7A"/>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55C"/>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384"/>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C3"/>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592E"/>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5E1"/>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68A3"/>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99"/>
    <w:rsid w:val="004812BC"/>
    <w:rsid w:val="00481372"/>
    <w:rsid w:val="004819D9"/>
    <w:rsid w:val="00482067"/>
    <w:rsid w:val="00482559"/>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873"/>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7D5"/>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471"/>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53F"/>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4D81"/>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37"/>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20"/>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C8"/>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80D"/>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5EC5"/>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E1C"/>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107"/>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241"/>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87E5A"/>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AE6"/>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50175-1219-462B-83B0-73409BC5C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128</TotalTime>
  <Pages>2</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4613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7</cp:revision>
  <cp:lastPrinted>2010-01-07T15:23:00Z</cp:lastPrinted>
  <dcterms:created xsi:type="dcterms:W3CDTF">2021-05-11T16:28:00Z</dcterms:created>
  <dcterms:modified xsi:type="dcterms:W3CDTF">2021-05-11T21:32:00Z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